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firstLine="442" w:firstLineChars="1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廊坊市建设工程“龙河杯”奖（市优质）</w:t>
      </w:r>
    </w:p>
    <w:p>
      <w:pPr>
        <w:ind w:firstLine="3092" w:firstLineChars="7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评选办法</w:t>
      </w:r>
    </w:p>
    <w:p>
      <w:pPr>
        <w:ind w:firstLine="2249" w:firstLineChars="7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（2021年修改版）</w:t>
      </w:r>
      <w:bookmarkStart w:id="0" w:name="_GoBack"/>
      <w:bookmarkEnd w:id="0"/>
    </w:p>
    <w:p>
      <w:pPr>
        <w:numPr>
          <w:ilvl w:val="0"/>
          <w:numId w:val="0"/>
        </w:numPr>
        <w:ind w:firstLine="2891" w:firstLineChars="9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第一章  总  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质量发展是兴国之道，强国之策，质量反映一个企业和产业的核心竞争力，为强化我市质量文化，大力弘扬工匠精神，规范我市建筑市场秩序，有效保障工程质量，促进建筑业持续健康发展，制定廊坊市建设工程“龙河杯”奖（市优质）评选办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“龙河杯”奖（市优质）是我市建设工程质量的最高奖，工程质量应达到我市的领先水平，倡导提升工程质量管理的系统性、科学性和经济性，宣传和表彰设计优、质量精、管理佳、效益好、技术先进、节能环保的工程项目。评选坚持“优中选优、宁缺毋滥”和“公开、公平、公正”的原则，每年进行一次，不设名额限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二、“龙河杯”奖（市优质）的评选工作，由建筑业协会和市住建局质量监督部门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共同组织实施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。评选结果在公众媒体上进行公示后上报市住建局备案。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三、“龙河杯”奖（市优质）工程，由协会会员单位自愿申报，经市（县）住建局或有关单位推荐，方可参加评选活动。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四、“龙河杯”奖（市优质）作为河北省安济杯奖工程申报的必要条件之一，作为企业信用综合评价的积分内容等。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第二章  评选范围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（市优质）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评选工程应是已经建成并投入使用的新（扩）建工程，主要包括：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一、公共建筑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000平方米及其以上的公建工程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（二）建筑面积在1000平方米以上的单体或2500平方米以上的群体古建筑重建工程；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（三）投资6000万元以上的学校、医院、科研、文体、厂（矿）区等群体建筑工程；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（四）投资在3000万元以上的构筑物工程；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（五）10000座以上体育场；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（六）2500座以上体育馆；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（七）1500座以上游泳馆；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（八）800座以上影剧院；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（九）高度100米以上广播电视塔；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（十）150间以上客房的饭店、宾馆等。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二、住宅工程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建筑面积5000平方米以上的单体住宅。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 建筑面积在3000平方米及以上单体装配式住宅和用地规模在18000平方米以上的新农村建设项目。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三、工业交通水利工程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（一）投资规模在3000万元以上的大中型工业项目；大型设备及工艺管道安装等，其建安工程量在400万元及其以上的安装工程项目。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（二）电力工程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1、火电厂：单机容量200兆瓦及以上；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2、变电站：电压等级220千伏及以上；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3、线路安装：电压等级220千伏，30公里及以上；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4、投资在3000万元以上的其它电力工程。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（三）交通工程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1、高速公路形成独立使用功能的服务区；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2、高速公路10公里及以上；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3、一级公路10公里及以上；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4、大、中型桥梁或投资在1000万元以上的立交桥；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5、应用新技术、新工艺较广且总价在500万元以上的高速公路养护工程；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6、投资3000万元以上的铁路、机场、港口等工程。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（四）水利工程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投资在3000万元以上的水库、泵站、大坝、堤防、输水等水利工程。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市政园林工程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（一）桥面面积1.8万平方米以上的城市立交桥或12万平方米以上的城市道路工程；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（二）全长250米以上或单跨50米以上桥梁工程；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（三）长度500米以上的城市跨河桥；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（四）长度5公里以上的轨道交通及附属工程；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（五）日供水3万吨以上的供水厂或日处理3万吨以上的污水处理厂；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（六）占地3万平方米以上且建筑面积3000平方米以上的园林建筑工程；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（七）投资3000万元以上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的其他市政工程。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绿色生态工程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410"/>
        <w:gridCol w:w="1843"/>
        <w:gridCol w:w="179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1.保护与修复工程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自然公园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面积  公顷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以上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森林（草原）修复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面积  公顷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100以上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湿地修复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面积  公顷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以上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2.综合工程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营造林工程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面积  公顷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 以上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国家森林步道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长度  公里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10以上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其他工程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投资  亿元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以上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工程规模不低于上述评选标准的90%，或上述标准未涉及的工程门类且工程造价不低于1000万，科技含量高、设计理念先进、施工工艺新颖、行业贡献突出、社会效益显著的工程，能代表本行业、本区域建设领先水平并具有重要意义的工程项目，经秘书处审核可以列入评选范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凡是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本协会会员企业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廊坊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境内施工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的工程及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会会员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在外地施工的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建设工程项目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均可参加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（市优质）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评选活动。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下列工程不列入评选范围：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保密工程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已经参加过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（市优质）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评选而未被评选上的工程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（三）违法违规建设工程；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（四）由于设计、施工等原因而存在质量、安全隐患、功能性缺陷的工程；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（五）申报工程在建设过程中发生过一般及以上质量事故、一般及以上安全事故和重大环境污染事故的工程，以及在社会造成恶劣影响的工程。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第三章  申报条件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凡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>申报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（市优质）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>工程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ascii="仿宋" w:hAnsi="仿宋" w:eastAsia="仿宋"/>
          <w:b w:val="0"/>
          <w:bCs w:val="0"/>
          <w:color w:val="000000"/>
          <w:sz w:val="32"/>
          <w:szCs w:val="32"/>
        </w:rPr>
        <w:t>必须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具备以下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条件：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各种建设手续齐全，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符合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建设程序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二、工程项目已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完成竣工验收备案，经过一年以上使用，没有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发现质量缺陷和质量隐患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未发生过质量投诉事件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三、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结构工程质量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应达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 xml:space="preserve">到河北省结构优质中对实体质量和技术资料的要求。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四、申报单位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 xml:space="preserve">应坚持过程精品并具有完善的过程控制措施。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、工业交通水利工程、市政园林工程还要求具备独立和完善的功能，其各项技术指标、经济效益及社会效益应达到本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先进水平。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住宅小区及组团除符合本章一至四条要求外，还应具备下列条件：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（一）小区总体设计符合城市规划有关规定标准的要求；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（二）公共配套设施均已完善并投入使用；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住宅工程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除符合本章第六条要求外，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入住率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应在50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%以上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无业主投诉和不良反应，且具备下列条件之一：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（一）有科技创新，获得省级以上科学技术奖或科技示范工程；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（二）有新技术、新材料、新工艺、新设备应用，施工中采用“建筑业10项新技术”不少于3项；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（三）获得新工法或BIM应用、QC小组管理奖；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（四）装配式住宅、通过绿色建筑评比验收的不受上述条件限制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、申报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外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工程，除满足上述条件外，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none"/>
        </w:rPr>
        <w:t>还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none"/>
          <w:lang w:val="en-US" w:eastAsia="zh-CN"/>
        </w:rPr>
        <w:t>需具有当地建设主管部门对申报项目的综合评价意见。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第四章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申报形式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申报“龙河杯”奖可以采取独立、联合等形式，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申报企业必须符合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条件：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独立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申报单位是指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建设单位签订施工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承包合同的独立法人单位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在公共建筑和住宅工程中，承担了主体结构和部分装修装饰的施工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在交通水利、市政园林工程中，承担了主体工程和工程主要部位的施工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在以土建工程为主体的工业建设项目中，承担主厂房和其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与生产相关的主要建筑物、构筑物的施工；在以安装工程为主体的工业建设项目中，承担了主要生产设备和管线、仪器、仪表的安装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联合申报是指两家及其以上企业以联合体名义承包一项工程，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并签订联合承包合同的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参建单位是指与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总承包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单位签订分包合同的独立法人单位，要求其完成的建安工作量应占工程总量的10%以上。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章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申报程序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工程的申报程序：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申请加入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建筑业协会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履行会员义务的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，工程项目在中华人民共和国境内，符合申报条件的工程均可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向廊坊市建筑业协会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工程的承建企业要将主要参建单位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监理单位资料汇总后填入《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申报表》，一同申报。申报表报至市建筑业协会。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“龙河杯”奖工程评选活动，每年举办一次。申报、复查及评审时间，以建筑业协会通知为准。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市建筑业协会对申报资料进行初审，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初审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合格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工程进入评审程序。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申报资料的内容：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1、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到河北省结构优质中对实体质量和技术资料的要求的相关证明材料。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奖申报表》一份；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工程竣工验收及备案资料扫描件一份；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承建工程项目经理、总监理工程师资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证书复印件各一份；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5、</w:t>
      </w: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</w:rPr>
        <w:t>反映工程概貌及主要部位并附文字说明的工程彩照6张；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08" w:firstLineChars="200"/>
        <w:textAlignment w:val="auto"/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  <w:t xml:space="preserve"> 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各申报单位将以上资料刻录成电子光盘，与纸质资料一并上报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具体申报格式（以具体通知为准）。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对申报资料的要求：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1、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“龙河杯”奖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申报表中需由相关单位签署意见的栏目，应写明对工程质量的具体评价意见。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申报资料中提供的文件、证明和印章等必须清晰，容易辨认；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申报资料准确、真实，如有变更,建设单位应出具变更证明。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章  工程复查及评审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建筑业协会组织复查小组对符合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要求的工程进行现场复查。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并形成完整的复查记录和评价结论；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复查小组由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住建局质量监督部门监督员一名和建筑业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专家库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配套的专业技术人员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3-5人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组成。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工程质量复查程序及内容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听取申报单位对工程施工和质量情况的介绍。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（二）听取使用单位或用户的意见。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查阅工程建设的前期文件、施工技术资料及竣工验收资料等。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各专业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工程质量检查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复查小组对（1--4）复查内容要进行量化打分（打分表详见附表），凡实际得分出现0分项或累计得分率低于60%者为否决项。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复查组向评审委员会提交复查报告。复查报告要对工程的整体质量状况做出综合评价。并填报受检工程复查排序表。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二、评审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现场复查后，建筑业协会从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建筑业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专家库中抽取评审专家组成评审委员会，评审委员会设主任委员1人，副主任委员2人，委员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4-6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评审委员会通过听取复查组汇报，审查申报资料、质询评议、最终以无记名投票方式评出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奖工程，评选结果在“建筑业协会网站”及有关媒体上公示7天。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建筑业协会将评审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结果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报市住建局备案。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黑体" w:hAnsi="华文仿宋" w:eastAsia="黑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章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表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建筑业协会向获评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奖工程的承建单位颁发“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”奖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、证书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主要参建单位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监理单位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项目经理、项目技术负责人和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总监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理工程师颁发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获奖证书。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建筑业协会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面向社会表彰建筑施工企业的创优业绩。评定结果在建筑业协会和住建局官网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等公众媒体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予以公布。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章  纪律及监督机制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复查工作严格执行“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复查否决条件及复查工作标准”。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申报企业和推荐单位必须坚持实事求是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的原则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，不得弄虚作假，不得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以不正当手段取得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获奖资格，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否则，一经查出收回奖牌、证书，撤销获奖资格并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取消一年内评优、评先资格。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工程复查人员和评审委员，要秉公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，廉洁自律，遵守法纪，不得收受企业和有关人员的礼品、礼金。违者视情节给予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严肃处理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，直至撤销工程复查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评审资格，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取消建筑业专家资格，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并将违纪行为通知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所在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现场复查工作结束后，受检单位填写《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廊坊市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建设工程“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”奖现场复查意见反馈表》，直接向市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廊坊市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建筑业协会反馈。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复查专家组接受评审委员会考核，考核结果在建筑业协会存档并作为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以后选拔使用的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依据。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任何单位和个人不得复制“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龙河杯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”奖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牌和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获奖证书，如有违者，将依法追究法律责任。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评审工作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接受住建局相关单位的监督。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黑体" w:hAnsi="华文仿宋" w:eastAsia="黑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章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对已获得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龙河杯”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荣誉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称号的工程，若发现主体结构质量存在严重问题或隐患，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廊坊市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建筑业协会要组织专家对工程进行鉴定，根据鉴定结果可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做出撤消该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龙河杯”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荣誉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称号的决定，收回奖杯和证书。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本办法由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廊坊市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建筑业协会负责解释。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本办法自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修改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颁发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之日起实施，原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廊坊市“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奖（市优质）评选办法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同时废止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一、廊坊市建设工程“龙河杯”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奖（市优质）申报表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二、廊坊市建设工程“龙河杯”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奖（市优质）复查否决条件。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三、廊坊市建设工程“龙河杯”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奖（市优质）复查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量化打分表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right="17" w:rightChars="8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right="17" w:rightChars="8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40" w:lineRule="exact"/>
        <w:ind w:right="17" w:rightChars="8"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40" w:lineRule="exact"/>
        <w:ind w:right="17" w:rightChars="8"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廊坊市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建筑业协会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40" w:lineRule="exact"/>
        <w:ind w:firstLine="4092" w:firstLineChars="1279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二一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二十五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一：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val="en-US" w:eastAsia="zh-CN"/>
        </w:rPr>
        <w:t>廊坊</w:t>
      </w:r>
      <w:r>
        <w:rPr>
          <w:rFonts w:hint="eastAsia"/>
          <w:b/>
          <w:sz w:val="52"/>
          <w:szCs w:val="52"/>
        </w:rPr>
        <w:t>市建设工程</w:t>
      </w:r>
      <w:r>
        <w:rPr>
          <w:rFonts w:hint="eastAsia"/>
          <w:b/>
          <w:sz w:val="52"/>
          <w:szCs w:val="52"/>
          <w:lang w:eastAsia="zh-CN"/>
        </w:rPr>
        <w:t>“</w:t>
      </w:r>
      <w:r>
        <w:rPr>
          <w:rFonts w:hint="eastAsia"/>
          <w:b/>
          <w:sz w:val="52"/>
          <w:szCs w:val="52"/>
          <w:lang w:val="en-US" w:eastAsia="zh-CN"/>
        </w:rPr>
        <w:t>龙河杯”</w:t>
      </w:r>
      <w:r>
        <w:rPr>
          <w:rFonts w:hint="eastAsia"/>
          <w:b/>
          <w:sz w:val="52"/>
          <w:szCs w:val="52"/>
        </w:rPr>
        <w:t>奖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（市优质）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</w:t>
      </w:r>
      <w:r>
        <w:rPr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</w:rPr>
        <w:t>报</w:t>
      </w:r>
      <w:r>
        <w:rPr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</w:rPr>
        <w:t>表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8" w:firstLineChars="295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工程名称：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</w:t>
      </w:r>
    </w:p>
    <w:p>
      <w:pPr>
        <w:ind w:firstLine="948" w:firstLineChars="295"/>
        <w:rPr>
          <w:b/>
          <w:sz w:val="32"/>
          <w:szCs w:val="32"/>
          <w:u w:val="single"/>
        </w:rPr>
      </w:pPr>
    </w:p>
    <w:p>
      <w:pPr>
        <w:ind w:firstLine="948" w:firstLineChars="295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申报单位：</w:t>
      </w:r>
      <w:r>
        <w:rPr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（章）</w:t>
      </w:r>
    </w:p>
    <w:p/>
    <w:p/>
    <w:p/>
    <w:p/>
    <w:p/>
    <w:p/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b/>
          <w:bCs/>
          <w:sz w:val="32"/>
          <w:szCs w:val="32"/>
        </w:rPr>
        <w:t xml:space="preserve">0     </w:t>
      </w:r>
      <w:r>
        <w:rPr>
          <w:rFonts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月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廊坊</w:t>
      </w:r>
      <w:r>
        <w:rPr>
          <w:rFonts w:hint="eastAsia"/>
          <w:b/>
          <w:bCs/>
          <w:sz w:val="32"/>
          <w:szCs w:val="32"/>
        </w:rPr>
        <w:t>市建筑业协会制</w:t>
      </w: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 表  说  明</w:t>
      </w:r>
    </w:p>
    <w:p>
      <w:pPr>
        <w:spacing w:line="560" w:lineRule="exact"/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pacing w:line="560" w:lineRule="exact"/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、本表由承建单位填写。要求内容真实、准确、文字清楚。</w:t>
      </w:r>
    </w:p>
    <w:p>
      <w:pPr>
        <w:spacing w:line="56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、填写的工程名称必须与立项批文的工程名称一致。如有更改，需有相关单位的文件。</w:t>
      </w:r>
    </w:p>
    <w:p>
      <w:pPr>
        <w:spacing w:line="56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、单位名称必须同相应的承包合同中的单位名称（章）一致。如有更名，要有相应的批准文件。</w:t>
      </w:r>
    </w:p>
    <w:p>
      <w:pPr>
        <w:spacing w:line="56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、单位简介主要填写单位的基本情况及主要业绩。</w:t>
      </w:r>
    </w:p>
    <w:p>
      <w:pPr>
        <w:spacing w:line="56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、经济效益是指施工企业合理组织施工，在缩短工期、节省劳力、节约材料、降低成本和保证质量等方面取得的综合效益。</w:t>
      </w:r>
    </w:p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、使用单位、主管（建设单位）意见，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除对工程质量作出评价外，还应注明“不满意”、“满意”、“非常满意”评价。</w:t>
      </w:r>
    </w:p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7、工业项目除上述评价外还应注明企业经济效益和社会效益情况。</w:t>
      </w:r>
    </w:p>
    <w:p>
      <w:pPr>
        <w:spacing w:line="560" w:lineRule="exact"/>
        <w:ind w:firstLine="64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 w:ascii="黑体" w:hAnsi="华文仿宋" w:eastAsia="黑体"/>
          <w:b/>
          <w:bCs/>
          <w:sz w:val="32"/>
          <w:szCs w:val="32"/>
        </w:rPr>
        <w:br w:type="page"/>
      </w:r>
      <w:r>
        <w:rPr>
          <w:rFonts w:hint="eastAsia"/>
          <w:b/>
          <w:sz w:val="36"/>
          <w:szCs w:val="36"/>
        </w:rPr>
        <w:t>承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建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位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简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介</w:t>
      </w:r>
    </w:p>
    <w:tbl>
      <w:tblPr>
        <w:tblStyle w:val="6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049"/>
        <w:gridCol w:w="752"/>
        <w:gridCol w:w="1057"/>
        <w:gridCol w:w="1641"/>
        <w:gridCol w:w="11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主营专业资质等级</w:t>
            </w:r>
          </w:p>
        </w:tc>
        <w:tc>
          <w:tcPr>
            <w:tcW w:w="38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8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所有制形式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项目经理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企业何时获得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管理体系认证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ISO9000</w:t>
            </w:r>
            <w:r>
              <w:rPr>
                <w:rFonts w:hint="eastAsia"/>
                <w:sz w:val="28"/>
                <w:szCs w:val="28"/>
              </w:rPr>
              <w:t>认证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体系状态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ISO14000</w:t>
            </w:r>
            <w:r>
              <w:rPr>
                <w:rFonts w:hint="eastAsia"/>
                <w:sz w:val="28"/>
                <w:szCs w:val="28"/>
              </w:rPr>
              <w:t>认证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体系状态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45001</w:t>
            </w:r>
            <w:r>
              <w:rPr>
                <w:rFonts w:hint="eastAsia"/>
                <w:sz w:val="28"/>
                <w:szCs w:val="28"/>
              </w:rPr>
              <w:t>认证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体系状态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工程主要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承建内容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8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承建单位简介</w:t>
            </w:r>
          </w:p>
          <w:p>
            <w:pPr>
              <w:spacing w:line="48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789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03"/>
        <w:gridCol w:w="2696"/>
        <w:gridCol w:w="144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监理单位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监理单位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座机：</w:t>
            </w:r>
          </w:p>
          <w:p>
            <w:pPr>
              <w:spacing w:line="400" w:lineRule="exact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项目总监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座机：</w:t>
            </w:r>
          </w:p>
          <w:p>
            <w:pPr>
              <w:spacing w:line="400" w:lineRule="exact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参建单位</w:t>
            </w:r>
          </w:p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参建单位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工程主要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参建内容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主营专业资质等级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完成工作量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参建专业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资质等级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参建单位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参建单位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工程主要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参建内容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主营专业资质等级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完成工作量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参建专业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资质等级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监理及主要参建单位</w:t>
      </w:r>
    </w:p>
    <w:p>
      <w:pPr>
        <w:rPr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申报工程概况</w:t>
      </w:r>
    </w:p>
    <w:tbl>
      <w:tblPr>
        <w:tblStyle w:val="6"/>
        <w:tblW w:w="8949" w:type="dxa"/>
        <w:tblInd w:w="108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460"/>
        <w:gridCol w:w="3278"/>
        <w:gridCol w:w="12"/>
        <w:gridCol w:w="1234"/>
        <w:gridCol w:w="766"/>
        <w:gridCol w:w="142"/>
        <w:gridCol w:w="608"/>
        <w:gridCol w:w="961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工程名称</w:t>
            </w: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工程类别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建设地点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建设单位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设计单位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开工时间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交工验收时间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竣工验收时间</w:t>
            </w:r>
          </w:p>
        </w:tc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竣工备案时间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工程造价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预算价         （万元）：结算价          （万元）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工程规模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结构类型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建设手续情况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工程规划证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取得时间：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3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图纸审查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取得时间：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中标通知书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中标时间：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施工许可证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取得时间：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工程竣工备案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取得时间：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消防验收手续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验收时间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环保验收手续</w:t>
            </w:r>
          </w:p>
        </w:tc>
        <w:tc>
          <w:tcPr>
            <w:tcW w:w="7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有□，无□，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验收时间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说明：1、工程类别：公共建筑、住宅、工业安装、公路交通、水利电力、市政园林。</w:t>
      </w:r>
    </w:p>
    <w:p>
      <w:pPr>
        <w:spacing w:line="560" w:lineRule="exact"/>
        <w:ind w:firstLine="703" w:firstLineChars="25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工程规模：房建类填写建筑面积、建筑高度、层数（地上、地下）、高度，道路交通类填写道桥长度，工业安装类填写生产能力和投资额，园林类填写占地面积、各种建筑面积总和及投资额，电力类填写投资或发电、输电规模，水利类填写投资额、蓄（流、供、排）水量、长度等，无法规模计量的均填写投资额。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3、结构类型：仅房建类项目填写，其它类工程填写“无”。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申报工程获奖情况</w:t>
      </w:r>
    </w:p>
    <w:tbl>
      <w:tblPr>
        <w:tblStyle w:val="6"/>
        <w:tblW w:w="85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省部级优秀设计奖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绿色施工示范工程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省部级科技示范工程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省部级工法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获得名称及时间：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获得专利证书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获得名称及时间：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省部级BIM竞赛奖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获得名称及时间：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省部级QC竞赛奖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pacing w:val="-12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结构优</w:t>
            </w:r>
            <w:r>
              <w:rPr>
                <w:rFonts w:hint="eastAsia" w:ascii="宋体" w:hAnsi="宋体"/>
                <w:spacing w:val="-12"/>
                <w:sz w:val="28"/>
                <w:szCs w:val="28"/>
                <w:lang w:val="en-US" w:eastAsia="zh-CN"/>
              </w:rPr>
              <w:t>质/专家鉴定评价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证或鉴定评价</w:t>
            </w: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  <w:lang w:val="en-US" w:eastAsia="zh-CN"/>
              </w:rPr>
              <w:t>其    它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有□，无□</w:t>
            </w:r>
          </w:p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获奖名称及时间：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</w:trPr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建筑十项新技术应用情况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共应用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大项，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个子项：内容：</w:t>
            </w:r>
          </w:p>
        </w:tc>
      </w:tr>
    </w:tbl>
    <w:p>
      <w:pPr>
        <w:spacing w:line="320" w:lineRule="exact"/>
        <w:ind w:left="210" w:leftChars="100"/>
        <w:rPr>
          <w:rFonts w:hint="eastAsia" w:ascii="仿宋" w:hAnsi="仿宋" w:eastAsia="仿宋"/>
          <w:b/>
          <w:spacing w:val="-12"/>
          <w:sz w:val="24"/>
        </w:rPr>
      </w:pPr>
      <w:r>
        <w:rPr>
          <w:rFonts w:hint="eastAsia" w:ascii="仿宋" w:hAnsi="仿宋" w:eastAsia="仿宋"/>
          <w:b/>
          <w:spacing w:val="-12"/>
          <w:sz w:val="24"/>
        </w:rPr>
        <w:t>说明：新工法、专利、BIM、QC等单项奖中，有多个获奖项目的，只填写其中一项主要获奖情况即可。</w:t>
      </w:r>
    </w:p>
    <w:p>
      <w:pPr>
        <w:spacing w:line="320" w:lineRule="exact"/>
        <w:ind w:left="210" w:leftChars="100"/>
        <w:rPr>
          <w:rFonts w:hint="eastAsia" w:ascii="仿宋" w:hAnsi="仿宋" w:eastAsia="仿宋"/>
          <w:spacing w:val="-12"/>
          <w:sz w:val="2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工程申报理由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9" w:hRule="atLeast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440"/>
              </w:tabs>
              <w:spacing w:line="300" w:lineRule="exact"/>
              <w:ind w:firstLine="472" w:firstLineChars="196"/>
              <w:rPr>
                <w:b/>
                <w:sz w:val="24"/>
              </w:rPr>
            </w:pPr>
          </w:p>
        </w:tc>
      </w:tr>
    </w:tbl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备注：申报理由填写内容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、工程概况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、工程施工难点及特点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、新材料、新技术、新设备、新工艺及节能、环保等，在工程应用的情况，绿色施工应用情况。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、工程质量特色（亮点）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、质量管理措施及经济、社会效益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、文字控制在</w:t>
      </w:r>
      <w:r>
        <w:rPr>
          <w:sz w:val="28"/>
          <w:szCs w:val="28"/>
        </w:rPr>
        <w:t>1000</w:t>
      </w:r>
      <w:r>
        <w:rPr>
          <w:rFonts w:hint="eastAsia"/>
          <w:sz w:val="28"/>
          <w:szCs w:val="28"/>
        </w:rPr>
        <w:t>字以内。</w:t>
      </w:r>
    </w:p>
    <w:tbl>
      <w:tblPr>
        <w:tblStyle w:val="6"/>
        <w:tblW w:w="89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8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使用单位（或建设单位）意见：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right="760" w:firstLine="6720" w:firstLineChars="24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单位盖章</w:t>
            </w:r>
          </w:p>
          <w:p>
            <w:pPr>
              <w:spacing w:line="440" w:lineRule="exact"/>
              <w:ind w:right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8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属地质量监督部门意见：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right="640" w:firstLine="4760" w:firstLineChars="17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单位盖章</w:t>
            </w:r>
          </w:p>
          <w:p>
            <w:pPr>
              <w:wordWrap w:val="0"/>
              <w:spacing w:line="440" w:lineRule="exact"/>
              <w:ind w:right="72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8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</w:t>
            </w:r>
            <w:r>
              <w:rPr>
                <w:rFonts w:hint="eastAsia" w:ascii="宋体" w:hAnsi="宋体" w:cs="宋体"/>
                <w:sz w:val="28"/>
                <w:szCs w:val="28"/>
              </w:rPr>
              <w:t>组复查意见：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ind w:right="64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专业工程师签字：</w:t>
            </w:r>
          </w:p>
          <w:p>
            <w:pPr>
              <w:spacing w:line="440" w:lineRule="exact"/>
              <w:ind w:right="640" w:firstLine="3220" w:firstLineChars="1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ind w:right="640" w:firstLine="3220" w:firstLineChars="1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ind w:right="64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专家组组长签字：</w:t>
            </w:r>
          </w:p>
          <w:p>
            <w:pPr>
              <w:spacing w:line="440" w:lineRule="exact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8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廊坊市</w:t>
            </w:r>
            <w:r>
              <w:rPr>
                <w:rFonts w:hint="eastAsia" w:ascii="宋体" w:hAnsi="宋体"/>
                <w:sz w:val="28"/>
                <w:szCs w:val="28"/>
              </w:rPr>
              <w:t>建设工程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龙河杯”奖</w:t>
            </w:r>
            <w:r>
              <w:rPr>
                <w:rFonts w:hint="eastAsia" w:ascii="宋体" w:hAnsi="宋体"/>
                <w:sz w:val="28"/>
                <w:szCs w:val="28"/>
              </w:rPr>
              <w:t>（市优质）评审委员会意见：</w:t>
            </w:r>
          </w:p>
          <w:p>
            <w:pPr>
              <w:spacing w:line="440" w:lineRule="exact"/>
              <w:ind w:firstLine="3080" w:firstLineChars="1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副主任签字：</w:t>
            </w:r>
          </w:p>
          <w:p>
            <w:pPr>
              <w:spacing w:line="440" w:lineRule="exact"/>
              <w:ind w:firstLine="3080" w:firstLineChars="1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主任签字：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spacing w:line="440" w:lineRule="exact"/>
              <w:ind w:firstLine="6720" w:firstLineChars="24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p/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廊坊市建设</w:t>
      </w:r>
      <w:r>
        <w:rPr>
          <w:rFonts w:hint="eastAsia" w:ascii="仿宋" w:hAnsi="仿宋" w:eastAsia="仿宋" w:cs="仿宋"/>
          <w:b/>
          <w:sz w:val="36"/>
          <w:szCs w:val="36"/>
        </w:rPr>
        <w:t>工程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龙河杯</w:t>
      </w:r>
      <w:r>
        <w:rPr>
          <w:rFonts w:hint="default" w:ascii="仿宋" w:hAnsi="仿宋" w:eastAsia="仿宋" w:cs="仿宋"/>
          <w:b/>
          <w:sz w:val="36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b/>
          <w:sz w:val="36"/>
          <w:szCs w:val="36"/>
        </w:rPr>
        <w:t>奖（市优质）复查的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否决条件</w:t>
      </w:r>
    </w:p>
    <w:p>
      <w:pPr>
        <w:spacing w:line="460" w:lineRule="exact"/>
        <w:ind w:firstLine="6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在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龙河杯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（市优质）复查工作中，发现有如下情况之一者，该工程不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继续进行复查，并予以否决。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1、市场行为中无施工许可证的工程。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2、无正当理由未进行施工图审查的工程。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3、无正当理由未进行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竣工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验收备案的工程。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4、地基基础及主体结构存有安全隐患的工程。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5、不能满足使用功能及环保要求的工程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6、质量保证资料经复查为不齐全的工程。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7、违反设计及工程验收国家强制性条文的工程。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8、存在弄虚作假行为。</w:t>
      </w:r>
    </w:p>
    <w:p>
      <w:pPr>
        <w:spacing w:line="460" w:lineRule="exac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9、不符合现行质量验收规范的工程。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廊坊市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建筑业协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会</w:t>
      </w:r>
    </w:p>
    <w:p>
      <w:pPr>
        <w:spacing w:line="460" w:lineRule="exact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日 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附件三：</w:t>
      </w:r>
    </w:p>
    <w:p>
      <w:pPr>
        <w:ind w:firstLine="301" w:firstLineChars="1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廊坊市建设</w:t>
      </w:r>
      <w:r>
        <w:rPr>
          <w:rFonts w:hint="eastAsia" w:ascii="仿宋" w:hAnsi="仿宋" w:eastAsia="仿宋" w:cs="仿宋"/>
          <w:b/>
          <w:sz w:val="30"/>
          <w:szCs w:val="30"/>
        </w:rPr>
        <w:t>工程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龙河杯</w:t>
      </w:r>
      <w:r>
        <w:rPr>
          <w:rFonts w:hint="default" w:ascii="仿宋" w:hAnsi="仿宋" w:eastAsia="仿宋" w:cs="仿宋"/>
          <w:b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b/>
          <w:sz w:val="30"/>
          <w:szCs w:val="30"/>
        </w:rPr>
        <w:t>奖（市优质）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复查量化打分表</w:t>
      </w:r>
    </w:p>
    <w:tbl>
      <w:tblPr>
        <w:tblStyle w:val="7"/>
        <w:tblpPr w:leftFromText="180" w:rightFromText="180" w:vertAnchor="text" w:horzAnchor="page" w:tblpX="1620" w:tblpY="28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40"/>
        <w:gridCol w:w="1395"/>
        <w:gridCol w:w="2400"/>
        <w:gridCol w:w="1110"/>
        <w:gridCol w:w="561"/>
        <w:gridCol w:w="56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5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7171" w:type="dxa"/>
            <w:gridSpan w:val="6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3795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1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项数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打分标准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应得分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实得分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施工和质量管控</w:t>
            </w:r>
          </w:p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情况介绍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措施方法科学合理、成效显著得5分一般3分差1分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restart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使用单位意见或用户评价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很满意得10分，满意得 8分，一般得 5分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前期手续、市场行为及建设程序的合规性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手续齐全无违纪违规8-10分，基本齐全、无违纪违规得0-8分，有违纪违规 0分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施工管理资料、保证资料以及竣工验收资料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资料齐全10-12分，基本齐全8-10分，保证资料、竣工验收资料不齐全0-8分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基础和主体结构工程质量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质量好8-10分，一般无明显瑕疵5-8分，有瑕疵0分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装饰、装修门窗及防水质量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无空鼓开裂、无污染无漏渗，观感质量很好10-15分，好8-10分，一般0-8分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安装专业质量及使用功能10分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功能齐全质量很好6-8分好4-6分，一般0-4分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节能和功能性评价专业验收 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节能符合规范功能性评价好专业验收手续齐全8-10分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一般5-8分，差0-5分   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墙面、楼地面垂直平整；阴、阳角方正，层高准确。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实测实量合格率100%得15-20 分，合格率90%及以上得10-15分，合格率70%及以下得10-15分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6" w:type="dxa"/>
            <w:gridSpan w:val="4"/>
            <w:noWrap w:val="0"/>
            <w:vAlign w:val="top"/>
          </w:tcPr>
          <w:p>
            <w:pPr>
              <w:ind w:firstLine="1968" w:firstLineChars="700"/>
              <w:rPr>
                <w:rFonts w:hint="default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合   计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注：凡实得分出现0分项或总得分率低于60%时，工程不得评优。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检查组成员：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检查组组长：</w:t>
      </w:r>
    </w:p>
    <w:p>
      <w:pPr>
        <w:ind w:firstLine="562"/>
        <w:rPr>
          <w:rFonts w:hint="default" w:ascii="华文仿宋" w:hAnsi="华文仿宋" w:eastAsia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填表日期：   年  月  日</w:t>
      </w:r>
    </w:p>
    <w:sectPr>
      <w:headerReference r:id="rId5" w:type="default"/>
      <w:headerReference r:id="rId6" w:type="even"/>
      <w:pgSz w:w="11906" w:h="16838"/>
      <w:pgMar w:top="1418" w:right="1588" w:bottom="1191" w:left="1588" w:header="124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39029"/>
    <w:multiLevelType w:val="singleLevel"/>
    <w:tmpl w:val="86D390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DC2491"/>
    <w:multiLevelType w:val="singleLevel"/>
    <w:tmpl w:val="D6DC249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D600177"/>
    <w:multiLevelType w:val="singleLevel"/>
    <w:tmpl w:val="FD6001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DcyZGM4ZDI0MmVhMjBjZjk1NDEyNWFjOGYwNGYifQ=="/>
  </w:docVars>
  <w:rsids>
    <w:rsidRoot w:val="00910AFA"/>
    <w:rsid w:val="0002313A"/>
    <w:rsid w:val="00071752"/>
    <w:rsid w:val="00076297"/>
    <w:rsid w:val="000876DB"/>
    <w:rsid w:val="000E1563"/>
    <w:rsid w:val="001166B3"/>
    <w:rsid w:val="00133907"/>
    <w:rsid w:val="00136324"/>
    <w:rsid w:val="001B5F8F"/>
    <w:rsid w:val="001E6695"/>
    <w:rsid w:val="00206C94"/>
    <w:rsid w:val="00235CDD"/>
    <w:rsid w:val="00251223"/>
    <w:rsid w:val="00261F05"/>
    <w:rsid w:val="00273AFE"/>
    <w:rsid w:val="002C6C07"/>
    <w:rsid w:val="003467B5"/>
    <w:rsid w:val="00483D4C"/>
    <w:rsid w:val="004C0CDF"/>
    <w:rsid w:val="004C1166"/>
    <w:rsid w:val="00506088"/>
    <w:rsid w:val="005069A6"/>
    <w:rsid w:val="00582D9C"/>
    <w:rsid w:val="0064135E"/>
    <w:rsid w:val="007143DC"/>
    <w:rsid w:val="00746C6D"/>
    <w:rsid w:val="007D56C3"/>
    <w:rsid w:val="007D60C3"/>
    <w:rsid w:val="008540E2"/>
    <w:rsid w:val="00881E82"/>
    <w:rsid w:val="00897370"/>
    <w:rsid w:val="00910AFA"/>
    <w:rsid w:val="00920E8B"/>
    <w:rsid w:val="00943C1B"/>
    <w:rsid w:val="00974981"/>
    <w:rsid w:val="009B533C"/>
    <w:rsid w:val="009F337A"/>
    <w:rsid w:val="009F6CC4"/>
    <w:rsid w:val="00A14B7C"/>
    <w:rsid w:val="00A35747"/>
    <w:rsid w:val="00A40579"/>
    <w:rsid w:val="00A40788"/>
    <w:rsid w:val="00A43CB1"/>
    <w:rsid w:val="00A75535"/>
    <w:rsid w:val="00A860C7"/>
    <w:rsid w:val="00AE6FB9"/>
    <w:rsid w:val="00B06BF4"/>
    <w:rsid w:val="00B47B81"/>
    <w:rsid w:val="00B56523"/>
    <w:rsid w:val="00C241E8"/>
    <w:rsid w:val="00C824DF"/>
    <w:rsid w:val="00CC43CB"/>
    <w:rsid w:val="00CE1178"/>
    <w:rsid w:val="00D26F5D"/>
    <w:rsid w:val="00DB3705"/>
    <w:rsid w:val="00DC5935"/>
    <w:rsid w:val="00E21B8A"/>
    <w:rsid w:val="00E317E9"/>
    <w:rsid w:val="00E9188A"/>
    <w:rsid w:val="00E91C55"/>
    <w:rsid w:val="00EA70ED"/>
    <w:rsid w:val="00ED45F4"/>
    <w:rsid w:val="09AA600C"/>
    <w:rsid w:val="0BF861DB"/>
    <w:rsid w:val="0CFB6173"/>
    <w:rsid w:val="11E77E81"/>
    <w:rsid w:val="121F7775"/>
    <w:rsid w:val="127C47DC"/>
    <w:rsid w:val="16F13A87"/>
    <w:rsid w:val="309C2C3B"/>
    <w:rsid w:val="34E45158"/>
    <w:rsid w:val="35F84FA7"/>
    <w:rsid w:val="3B0672B5"/>
    <w:rsid w:val="41644CB8"/>
    <w:rsid w:val="44FD4DF3"/>
    <w:rsid w:val="49F972B1"/>
    <w:rsid w:val="4F1D08E5"/>
    <w:rsid w:val="56E57C9C"/>
    <w:rsid w:val="573A02B2"/>
    <w:rsid w:val="5AEF1366"/>
    <w:rsid w:val="5F3F020C"/>
    <w:rsid w:val="683C42D0"/>
    <w:rsid w:val="6CC92BAA"/>
    <w:rsid w:val="7219599B"/>
    <w:rsid w:val="753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31311-AADD-4E48-881B-99277A72B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6547</Words>
  <Characters>6770</Characters>
  <Lines>3</Lines>
  <Paragraphs>1</Paragraphs>
  <TotalTime>211</TotalTime>
  <ScaleCrop>false</ScaleCrop>
  <LinksUpToDate>false</LinksUpToDate>
  <CharactersWithSpaces>7359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2018-01-04T07:01:00Z</dcterms:created>
  <dc:creator>Windows 用户</dc:creator>
  <cp:lastModifiedBy>Administrator</cp:lastModifiedBy>
  <cp:lastPrinted>2019-11-26T02:34:00Z</cp:lastPrinted>
  <dcterms:modified xsi:type="dcterms:W3CDTF">2024-04-18T01:17:19Z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E060E4E1FCAD48159FEB5B956D5104FD_13</vt:lpwstr>
  </property>
</Properties>
</file>